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教育行业工作总结模板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上级教育主管部门的工作部署和要求，我校紧紧围绕立德树人根本任务，坚持党的教育方针，全面贯彻习近平新时代中国特色社会主义思想，深入推进教育教学改革，不断提升办学质量和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一、党建工作扎实推进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学校党委始终把党的政治建设摆在首位，深入学习贯彻党的二十大精神，组织开展"不忘初心、牢记使命"主题教育活动。全年共组织党委理论学习中心组学习12次，党支部学习24次，党员大会8次。发展党员15名，培养入党积极分子32名。建立健全党风廉政建设责任制，签订党风廉政建设责任书，开展廉政风险排查，制定防控措施。加强意识形态工作，定期分析研判意识形态领域形势，牢牢掌握意识形态工作领导权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二、教育教学质量稳步提升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学校坚持以教学为中心，深化课程改革，优化教学管理。本年度共开设课程120门，其中精品课程15门，在线开放课程8门。教师参加各级各类教学比赛获奖32项，其中国家级奖项5项，省级奖项12项。学生参加学科竞赛获奖156项，其中国家级奖项28项。毕业生就业率达到96.5%，考研录取率达到35%。推进产教融合、校企合作，与50余家企业建立合作关系，共建实习实训基地25个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三、师资队伍建设成效显著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学校高度重视师资队伍建设，实施"人才强校"战略。本年度引进高层次人才18人，其中博士12人，教授3人。组织教师参加培训进修256人次，选派骨干教师出国访学15人。新增省级教学名师2人，省级教学团队1个。教师发表论文368篇，其中核心期刊论文125篇，被SCI、EI收录论文68篇。获批国家级科研项目5项，省部级科研项目28项，科研经费到账3200万元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四、学生管理工作规范有序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学校坚持"以学生为中心"的理念，构建全员、全过程、全方位育人体系。完善学生管理制度，修订学生手册，规范学生日常行为。加强辅导员队伍建设，配备专职辅导员45人，师生比达到1:200。开展心理健康教育，建立学生心理健康档案，开展心理咨询服务1200余人次。做好学生资助工作，发放各类奖助学金2800万元，资助学生12000余人次。推进学生社团建设，现有学生社团68个，开展社团活动300余场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五、校园基础设施不断完善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学校加大基础设施投入，改善办学条件。本年度完成教学楼改造工程2栋，新建学生公寓1栋，新增建筑面积15000平方米。升级改造实验室15个，新增教学仪器设备价值1200万元。推进智慧校园建设，实现校园无线网络全覆盖，建设智慧教室30间。图书馆新增纸质图书5万册，电子图书10万册，数据库资源进一步丰富。校园绿化美化工程持续推进，校园环境更加优美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六、安全稳定工作常抓不懈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学校始终把安全稳定工作放在重要位置，建立健全安全稳定工作责任制。开展安全教育培训12次，应急演练4次。排查整改安全隐患56处。加强校园安全管理，安装监控摄像头300个，实现校园监控全覆盖。做好食品安全管理，食堂食品安全量化分级达到A级。加强消防安全管理，配备消防器材，定期检查维护。全年未发生重大安全事故，校园安全稳定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七、对外交流合作不断深化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学校积极推进国际化办学，拓展国际交流合作渠道。与国外高校签订合作协议8份，开展学生交流项目12个。招收留学生150人，来自25个国家。举办国际学术会议3场，邀请国外专家讲学50人次。教师出国参加学术会议交流86人次。推进港澳台交流合作，与港澳台高校建立合作关系，开展学生互访活动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深化教育教学改革，推进人才培养模式创新。加强师资队伍建设，引进和培养高层次人才。完善学科专业布局，优化专业结构。加强科研平台建设，提升科研创新能力。推进产教融合，深化校企合作。加强国际交流合作，提升国际化办学水平。持续改善办学条件，优化校园环境。加强党的建设，为学校发展提供坚强政治保证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